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E51195">
            <w:pPr>
              <w:jc w:val="center"/>
              <w:rPr>
                <w:b/>
                <w:bCs/>
                <w:sz w:val="15"/>
                <w:szCs w:val="15"/>
              </w:rPr>
            </w:pPr>
          </w:p>
          <w:p w:rsidR="00CA08D8" w:rsidRPr="00384363" w:rsidRDefault="00EE499D" w:rsidP="00E51195">
            <w:pPr>
              <w:jc w:val="center"/>
              <w:rPr>
                <w:b/>
              </w:rPr>
            </w:pPr>
            <w:r>
              <w:rPr>
                <w:b/>
              </w:rPr>
              <w:t xml:space="preserve">Ohio Speech &amp; Hearing Governmental Affairs Coalition </w:t>
            </w:r>
          </w:p>
          <w:p w:rsidR="00CA08D8" w:rsidRDefault="00CA08D8" w:rsidP="00E51195">
            <w:pPr>
              <w:pStyle w:val="Title"/>
              <w:rPr>
                <w:szCs w:val="24"/>
              </w:rPr>
            </w:pPr>
            <w:r>
              <w:rPr>
                <w:szCs w:val="24"/>
              </w:rPr>
              <w:t>Legislative Activities Report</w:t>
            </w:r>
          </w:p>
          <w:p w:rsidR="00BA188E" w:rsidRPr="00384363" w:rsidRDefault="005214EC" w:rsidP="00AC5965">
            <w:pPr>
              <w:jc w:val="center"/>
              <w:rPr>
                <w:b/>
                <w:bCs/>
              </w:rPr>
            </w:pPr>
            <w:r>
              <w:rPr>
                <w:b/>
                <w:bCs/>
              </w:rPr>
              <w:t>October</w:t>
            </w:r>
            <w:r w:rsidR="00F20B7C">
              <w:rPr>
                <w:b/>
                <w:bCs/>
              </w:rPr>
              <w:t xml:space="preserve"> </w:t>
            </w:r>
            <w:r w:rsidR="00CA08D8">
              <w:rPr>
                <w:b/>
                <w:bCs/>
              </w:rPr>
              <w:t>201</w:t>
            </w:r>
            <w:r w:rsidR="00F20B7C">
              <w:rPr>
                <w:b/>
                <w:bCs/>
              </w:rPr>
              <w:t>6</w:t>
            </w:r>
          </w:p>
        </w:tc>
      </w:tr>
    </w:tbl>
    <w:p w:rsidR="000D3479" w:rsidRDefault="000D3479" w:rsidP="00142E62"/>
    <w:p w:rsidR="009F732C" w:rsidRPr="001F3F08" w:rsidRDefault="009F732C" w:rsidP="001F3F08">
      <w:pPr>
        <w:ind w:firstLine="720"/>
      </w:pPr>
      <w:r w:rsidRPr="001F3F08">
        <w:t>The Ohio Senate recently announced that it has canceled five of the six sessions it had scheduled before the November election. The Senate’s cancellation of the session dates means that any remaining legislative work will be put off until lame duck session after the November 8</w:t>
      </w:r>
      <w:r w:rsidRPr="001F3F08">
        <w:rPr>
          <w:vertAlign w:val="superscript"/>
        </w:rPr>
        <w:t>th</w:t>
      </w:r>
      <w:r w:rsidRPr="001F3F08">
        <w:t xml:space="preserve"> election. The Ohio House, which had not scheduled session dates prior to the election, is still scheduled to return the week after the election.</w:t>
      </w:r>
    </w:p>
    <w:p w:rsidR="00F2081D" w:rsidRPr="001F3F08" w:rsidRDefault="00F2081D" w:rsidP="001F3F08">
      <w:pPr>
        <w:ind w:firstLine="720"/>
      </w:pPr>
    </w:p>
    <w:p w:rsidR="00F2081D" w:rsidRPr="001F3F08" w:rsidRDefault="00F2081D" w:rsidP="001F3F08">
      <w:pPr>
        <w:ind w:firstLine="720"/>
      </w:pPr>
      <w:r w:rsidRPr="001F3F08">
        <w:t xml:space="preserve">This reduced Senate legislative calendar is important to OSHGAC because of our work on pursuing an amendment to </w:t>
      </w:r>
      <w:r w:rsidRPr="001F3F08">
        <w:rPr>
          <w:color w:val="000000"/>
        </w:rPr>
        <w:t xml:space="preserve">HB 89 in order to solve the </w:t>
      </w:r>
      <w:r w:rsidRPr="001F3F08">
        <w:rPr>
          <w:color w:val="000000"/>
        </w:rPr>
        <w:t xml:space="preserve">current </w:t>
      </w:r>
      <w:r w:rsidRPr="001F3F08">
        <w:rPr>
          <w:color w:val="000000"/>
        </w:rPr>
        <w:t>problem</w:t>
      </w:r>
      <w:r w:rsidRPr="001F3F08">
        <w:rPr>
          <w:color w:val="000000"/>
        </w:rPr>
        <w:t xml:space="preserve">s with the Medicaid Schools program.  The amendment that we are working with our partners on would </w:t>
      </w:r>
      <w:r w:rsidRPr="001F3F08">
        <w:rPr>
          <w:color w:val="000000"/>
        </w:rPr>
        <w:t>mak</w:t>
      </w:r>
      <w:r w:rsidRPr="001F3F08">
        <w:rPr>
          <w:color w:val="000000"/>
        </w:rPr>
        <w:t>e</w:t>
      </w:r>
      <w:r w:rsidRPr="001F3F08">
        <w:rPr>
          <w:color w:val="000000"/>
        </w:rPr>
        <w:t xml:space="preserve"> it possible for OTs, PTs, SLPs and AuDs to “order, refer and prescribe” their own services for Medicaid students with IEPs.  This will eliminate the need for a physician prescription.  The goal is to get this amendment in and the bill passed before the end of this year.  Thus, far there appears to be support from the necessary legislat</w:t>
      </w:r>
      <w:r w:rsidRPr="001F3F08">
        <w:rPr>
          <w:color w:val="000000"/>
        </w:rPr>
        <w:t>ive leaders to make that happen; however, the expedited session schedule will make our work in securing the amendment a bit more challenging.</w:t>
      </w:r>
    </w:p>
    <w:p w:rsidR="00F2081D" w:rsidRPr="001F3F08" w:rsidRDefault="00F2081D" w:rsidP="001F3F08">
      <w:pPr>
        <w:ind w:firstLine="720"/>
      </w:pPr>
    </w:p>
    <w:p w:rsidR="00F2081D" w:rsidRPr="001F3F08" w:rsidRDefault="00F2081D" w:rsidP="001F3F08">
      <w:pPr>
        <w:ind w:firstLine="720"/>
      </w:pPr>
      <w:r w:rsidRPr="001F3F08">
        <w:t xml:space="preserve">Also on the education front, GAC will be meeting with our partners – other related services providers, ODE, </w:t>
      </w:r>
      <w:r w:rsidRPr="001F3F08">
        <w:t>the Department of Higher Education, the school administrators and the ESCs</w:t>
      </w:r>
      <w:r w:rsidRPr="001F3F08">
        <w:t xml:space="preserve"> – on October 18</w:t>
      </w:r>
      <w:r w:rsidRPr="001F3F08">
        <w:rPr>
          <w:vertAlign w:val="superscript"/>
        </w:rPr>
        <w:t>th</w:t>
      </w:r>
      <w:r w:rsidRPr="001F3F08">
        <w:t xml:space="preserve"> to discuss our next steps on a possible legislative approach to address the shortages of related services providers in the schools.  Although the shortage of school psychologists appears to be the most urgent issue facing schools, our survey data shows that within 5 years the shortages of SLPS will be at a critical level, similar to what we saw </w:t>
      </w:r>
      <w:r w:rsidR="00DA4C8B" w:rsidRPr="001F3F08">
        <w:t xml:space="preserve">back in 2005 – 2006.  </w:t>
      </w:r>
      <w:r w:rsidRPr="001F3F08">
        <w:t xml:space="preserve"> </w:t>
      </w:r>
      <w:r w:rsidR="00DA4C8B" w:rsidRPr="001F3F08">
        <w:t xml:space="preserve">Our hope is to get ahead of that curve with a collaborative proposal that can address education, recruitment and retention barriers for all related services providers in the schools.  </w:t>
      </w:r>
      <w:r w:rsidRPr="001F3F08">
        <w:t>We hope to be able to move forward on all of that when the new General Assembly convenes in January.</w:t>
      </w:r>
    </w:p>
    <w:p w:rsidR="00F2081D" w:rsidRPr="001F3F08" w:rsidRDefault="00F2081D" w:rsidP="001F3F08">
      <w:pPr>
        <w:ind w:firstLine="720"/>
      </w:pPr>
    </w:p>
    <w:p w:rsidR="00DA4C8B" w:rsidRPr="001F3F08" w:rsidRDefault="00F2081D" w:rsidP="001F3F08">
      <w:pPr>
        <w:pStyle w:val="NormalWeb"/>
        <w:shd w:val="clear" w:color="auto" w:fill="FFFFFF"/>
        <w:spacing w:line="276" w:lineRule="auto"/>
        <w:ind w:firstLine="720"/>
        <w:rPr>
          <w:color w:val="000000"/>
        </w:rPr>
      </w:pPr>
      <w:r w:rsidRPr="001F3F08">
        <w:lastRenderedPageBreak/>
        <w:t xml:space="preserve">On the audiology front, </w:t>
      </w:r>
      <w:r w:rsidR="00DA4C8B" w:rsidRPr="001F3F08">
        <w:t xml:space="preserve">GAC is working with Ohio Medicaid to address concerns with the current policy that requires consumers to procure their hearing aid batteries monthly.  This creates a travel expense and scheduling burden for the consumer and an administrative burden for the provider.  Currently, the </w:t>
      </w:r>
      <w:r w:rsidR="00DA4C8B" w:rsidRPr="001F3F08">
        <w:rPr>
          <w:color w:val="000000"/>
        </w:rPr>
        <w:t>BCMH </w:t>
      </w:r>
      <w:r w:rsidR="00DA4C8B" w:rsidRPr="001F3F08">
        <w:rPr>
          <w:color w:val="000000"/>
        </w:rPr>
        <w:t xml:space="preserve">program </w:t>
      </w:r>
      <w:r w:rsidR="00DA4C8B" w:rsidRPr="001F3F08">
        <w:rPr>
          <w:color w:val="000000"/>
        </w:rPr>
        <w:t xml:space="preserve">approves batteries for </w:t>
      </w:r>
      <w:r w:rsidR="00DA4C8B" w:rsidRPr="001F3F08">
        <w:rPr>
          <w:color w:val="000000"/>
        </w:rPr>
        <w:t xml:space="preserve">one </w:t>
      </w:r>
      <w:r w:rsidR="00DA4C8B" w:rsidRPr="001F3F08">
        <w:rPr>
          <w:color w:val="000000"/>
        </w:rPr>
        <w:t xml:space="preserve">year and </w:t>
      </w:r>
      <w:r w:rsidR="00DA4C8B" w:rsidRPr="001F3F08">
        <w:rPr>
          <w:color w:val="000000"/>
        </w:rPr>
        <w:t>the yearly supply of batteries can be provided all at one time.  T</w:t>
      </w:r>
      <w:r w:rsidR="00DA4C8B" w:rsidRPr="001F3F08">
        <w:rPr>
          <w:color w:val="000000"/>
        </w:rPr>
        <w:t xml:space="preserve">his reduces costs of claim processing, transfer of funds, and </w:t>
      </w:r>
      <w:r w:rsidR="00DA4C8B" w:rsidRPr="001F3F08">
        <w:rPr>
          <w:color w:val="000000"/>
        </w:rPr>
        <w:t>other ad</w:t>
      </w:r>
      <w:bookmarkStart w:id="2" w:name="_GoBack"/>
      <w:bookmarkEnd w:id="2"/>
      <w:r w:rsidR="00DA4C8B" w:rsidRPr="001F3F08">
        <w:rPr>
          <w:color w:val="000000"/>
        </w:rPr>
        <w:t>ministrative burdens for the consumer and the provider.   GAC has a call scheduled to discuss this further with Ohio Medicaid on October 13</w:t>
      </w:r>
      <w:r w:rsidR="00DA4C8B" w:rsidRPr="001F3F08">
        <w:rPr>
          <w:color w:val="000000"/>
          <w:vertAlign w:val="superscript"/>
        </w:rPr>
        <w:t>th</w:t>
      </w:r>
      <w:r w:rsidR="00DA4C8B" w:rsidRPr="001F3F08">
        <w:rPr>
          <w:color w:val="000000"/>
        </w:rPr>
        <w:t xml:space="preserve">; it is our hope that they might decide to change their policy to an annual one, similar to BCMH.  </w:t>
      </w:r>
      <w:r w:rsidR="00DA4C8B" w:rsidRPr="001F3F08">
        <w:rPr>
          <w:color w:val="000000"/>
        </w:rPr>
        <w:t xml:space="preserve"> </w:t>
      </w:r>
    </w:p>
    <w:p w:rsidR="00DA4C8B" w:rsidRPr="001F3F08" w:rsidRDefault="00DA4C8B" w:rsidP="001F3F08">
      <w:pPr>
        <w:pStyle w:val="NormalWeb"/>
        <w:shd w:val="clear" w:color="auto" w:fill="FFFFFF"/>
        <w:spacing w:line="276" w:lineRule="auto"/>
        <w:rPr>
          <w:color w:val="000000"/>
        </w:rPr>
      </w:pPr>
    </w:p>
    <w:p w:rsidR="00F2081D" w:rsidRPr="001F3F08" w:rsidRDefault="00DA4C8B" w:rsidP="001F3F08">
      <w:pPr>
        <w:ind w:firstLine="720"/>
      </w:pPr>
      <w:r w:rsidRPr="001F3F08">
        <w:t xml:space="preserve"> Also on the Audiology front, we are working with the Govern</w:t>
      </w:r>
      <w:r w:rsidR="001F3F08">
        <w:t>o</w:t>
      </w:r>
      <w:r w:rsidRPr="001F3F08">
        <w:t xml:space="preserve">r’s office on a </w:t>
      </w:r>
      <w:r w:rsidR="001F3F08">
        <w:t xml:space="preserve">temporary </w:t>
      </w:r>
      <w:r w:rsidRPr="001F3F08">
        <w:t xml:space="preserve">resolution declaring October 2016 “Audiology Awareness Month” similar to what we have done in previous years. In addition, we are working on a longer term strategy to </w:t>
      </w:r>
      <w:r w:rsidR="001F3F08" w:rsidRPr="001F3F08">
        <w:t xml:space="preserve">get this recognition into the Ohio Revised Code so that the celebration is an on-going annual event, similar to what we accomplished with the statutory provision recognizing May as “Better Speech and Hearing Month.” </w:t>
      </w:r>
    </w:p>
    <w:p w:rsidR="009F732C" w:rsidRPr="001F3F08" w:rsidRDefault="009F732C" w:rsidP="001F3F08"/>
    <w:p w:rsidR="009F732C" w:rsidRPr="001F3F08" w:rsidRDefault="009F732C" w:rsidP="001F3F08">
      <w:r w:rsidRPr="001F3F08">
        <w:tab/>
        <w:t xml:space="preserve">In other news, Rep. Jeff McClain, a former chairman of the House Ways and Means Committee, recently announced he is resigning from the House in October to become the director of tax and economic policy for the Ohio Chamber of Commerce. Rep. McClain, who was term-limited at the end of the year, also served on the House Finance Committee and the House Committee on Community and Family Advancement. </w:t>
      </w:r>
    </w:p>
    <w:p w:rsidR="009F732C" w:rsidRPr="001F3F08" w:rsidRDefault="009F732C" w:rsidP="001F3F08">
      <w:pPr>
        <w:ind w:firstLine="720"/>
        <w:rPr>
          <w:sz w:val="16"/>
        </w:rPr>
      </w:pPr>
    </w:p>
    <w:p w:rsidR="009F732C" w:rsidRPr="001F3F08" w:rsidRDefault="009F732C" w:rsidP="001F3F08">
      <w:pPr>
        <w:ind w:firstLine="720"/>
      </w:pPr>
      <w:r w:rsidRPr="001F3F08">
        <w:t>Also of note, Ohio’s unemployment rate continued trending downward in August, reaching 4.7% compared to 4.8% the previous month. Ohio’s unemployment rate is below the national rate of 4.9%. Ohio’s rate has dropped every month since April, when it ticked up to 5.2%.</w:t>
      </w:r>
    </w:p>
    <w:p w:rsidR="009F732C" w:rsidRPr="001F3F08" w:rsidRDefault="009F732C" w:rsidP="001F3F08">
      <w:pPr>
        <w:ind w:firstLine="720"/>
      </w:pPr>
    </w:p>
    <w:p w:rsidR="006E63E4" w:rsidRPr="001F3F08" w:rsidRDefault="006E63E4" w:rsidP="001F3F08">
      <w:pPr>
        <w:ind w:firstLine="720"/>
      </w:pPr>
      <w:r w:rsidRPr="001F3F08">
        <w:t>We have been tracking the following legislation that has been introduced in the 131</w:t>
      </w:r>
      <w:r w:rsidRPr="001F3F08">
        <w:rPr>
          <w:vertAlign w:val="superscript"/>
        </w:rPr>
        <w:t>st</w:t>
      </w:r>
      <w:r w:rsidRPr="001F3F08">
        <w:t xml:space="preserve"> General Assembly: </w:t>
      </w:r>
    </w:p>
    <w:p w:rsidR="004D08E1" w:rsidRDefault="004D08E1" w:rsidP="004D08E1"/>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HB64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OPERATING BUDGET</w:t>
            </w:r>
            <w:r w:rsidRPr="004D08E1">
              <w:rPr>
                <w:rFonts w:eastAsia="Times New Roman"/>
                <w:color w:val="000000"/>
                <w:szCs w:val="24"/>
              </w:rPr>
              <w:t> (SMITH R) To make operating appropriations for the biennium beginning July 1, 2015, and ending June 30, 2017, and to provide authorization and conditions for the operation of state programs.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6/30/2015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6/30/15; certain provisions effective 9/29/15, other dates</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HB89</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SCHOOL PROGRAM</w:t>
            </w:r>
            <w:r w:rsidRPr="004D08E1">
              <w:rPr>
                <w:rFonts w:eastAsia="Times New Roman"/>
                <w:color w:val="000000"/>
                <w:szCs w:val="24"/>
              </w:rPr>
              <w:t> (DEVITIS A) Regarding the Medicaid School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5/17/2016 </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xml:space="preserve">Referred to </w:t>
            </w:r>
            <w:r>
              <w:rPr>
                <w:rFonts w:eastAsia="Times New Roman"/>
                <w:color w:val="000000"/>
                <w:szCs w:val="24"/>
              </w:rPr>
              <w:t xml:space="preserve">the </w:t>
            </w:r>
            <w:r w:rsidRPr="004D08E1">
              <w:rPr>
                <w:rFonts w:eastAsia="Times New Roman"/>
                <w:color w:val="000000"/>
                <w:szCs w:val="24"/>
              </w:rPr>
              <w:t>Senate Education Committee</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HB98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CHILDHOOD APRAXIA OF SPEECH AWARENESS DAY</w:t>
            </w:r>
            <w:r w:rsidRPr="004D08E1">
              <w:rPr>
                <w:rFonts w:eastAsia="Times New Roman"/>
                <w:color w:val="000000"/>
                <w:szCs w:val="24"/>
              </w:rPr>
              <w:t> (BROWN T) To designate May 14 as "Childhood Apraxia of Speech Awareness Day."</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2/14/2016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5/17/16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HB109</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STATE HEALTH BENEFIT EXCHANGE</w:t>
            </w:r>
            <w:r w:rsidRPr="004D08E1">
              <w:rPr>
                <w:rFonts w:eastAsia="Times New Roman"/>
                <w:color w:val="000000"/>
                <w:szCs w:val="24"/>
              </w:rPr>
              <w:t> (STINZIANO M, ANTONIO N) To create the Ohio Health Benefit Exchange.</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4/28/2015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HB157</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HEALTH INSURANCE-MEDICAID</w:t>
            </w:r>
            <w:r w:rsidRPr="004D08E1">
              <w:rPr>
                <w:rFonts w:eastAsia="Times New Roman"/>
                <w:color w:val="000000"/>
                <w:szCs w:val="24"/>
              </w:rPr>
              <w:t> (BUTLER, JR. J, JOHNSON T)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5/5/2015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Second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HB184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MUSIC THERAPY LICENSING</w:t>
            </w:r>
            <w:r w:rsidRPr="004D08E1">
              <w:rPr>
                <w:rFonts w:eastAsia="Times New Roman"/>
                <w:color w:val="000000"/>
                <w:szCs w:val="24"/>
              </w:rPr>
              <w:t> (DOVILLA M, ANTONIO N) To require the licensure of music therapists and to require the State Medical Board to regulate the licensure and practice of music therapists.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4/19/2016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Commerce and Labor</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Third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HB213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OCCUPATIONAL LICENSE RENEWAL</w:t>
            </w:r>
            <w:r w:rsidRPr="004D08E1">
              <w:rPr>
                <w:rFonts w:eastAsia="Times New Roman"/>
                <w:color w:val="000000"/>
                <w:szCs w:val="24"/>
              </w:rPr>
              <w:t> (BRINKMAN T) To make occupational licenses subject to annual renewal become biennial licenses and to permit a licensee to take continuing education courses online.</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4/19/2016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Commerce and Labor</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Fourth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HB350</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AUTISM TREATMENT-COVERAGE</w:t>
            </w:r>
            <w:r w:rsidRPr="004D08E1">
              <w:rPr>
                <w:rFonts w:eastAsia="Times New Roman"/>
                <w:color w:val="000000"/>
                <w:szCs w:val="24"/>
              </w:rPr>
              <w:t> (GROSSMAN C, TERHAR L) To mandate coverage of autism treatment.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5/25/2016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REPORTED OUT</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Government Accountability and Oversight</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Fifth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HB431</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DAY DESIGNATION</w:t>
            </w:r>
            <w:r w:rsidRPr="004D08E1">
              <w:rPr>
                <w:rFonts w:eastAsia="Times New Roman"/>
                <w:color w:val="000000"/>
                <w:szCs w:val="24"/>
              </w:rPr>
              <w:t> (SHEEHY M, PATTERSON J) To designate February 17th as "Annie Glenn Communication Disorders Awareness Day."</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5/31/2016</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8/31/16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HB483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MBR-DEVELOPMENTAL DISABILITIES</w:t>
            </w:r>
            <w:r w:rsidRPr="004D08E1">
              <w:rPr>
                <w:rFonts w:eastAsia="Times New Roman"/>
                <w:color w:val="000000"/>
                <w:szCs w:val="24"/>
              </w:rPr>
              <w:t> (AMSTUTZ R) To modify programs administered by the Department of Developmental Disabilities to modify certain laws pertaining to tax levies for developmental disabilities, to modify certain laws regarding ABLE savings accounts and Ohio's disability savings account program, to designate October as "Disability History and Awareness Month," to make an appropriation.</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7/13/2016</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10/12/16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HB488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CIVIL LIABILITY-VOLUNTEER HEALTH CARE</w:t>
            </w:r>
            <w:r w:rsidRPr="004D08E1">
              <w:rPr>
                <w:rFonts w:eastAsia="Times New Roman"/>
                <w:color w:val="000000"/>
                <w:szCs w:val="24"/>
              </w:rPr>
              <w:t> (SPRAGUE R)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4/26/2016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Judiciary</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HB523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MEDICAL MARIJUANA</w:t>
            </w:r>
            <w:r w:rsidRPr="004D08E1">
              <w:rPr>
                <w:rFonts w:eastAsia="Times New Roman"/>
                <w:color w:val="000000"/>
                <w:szCs w:val="24"/>
              </w:rPr>
              <w:t> (HUFFMAN S) To authorize the use of marijuana for medical purposes and to establish the Medical Marijuana Control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6/8/2016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9/8/16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HIGH PERFORMING SCHOOL DISTRICT EXEMPTION</w:t>
            </w:r>
            <w:r w:rsidRPr="004D08E1">
              <w:rPr>
                <w:rFonts w:eastAsia="Times New Roman"/>
                <w:color w:val="000000"/>
                <w:szCs w:val="24"/>
              </w:rPr>
              <w:t> (HITE C, FABER K) To exempt high-performing school districts from certain laws.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1/27/2016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Education</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Fourth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SB17</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ELIGIBILITY</w:t>
            </w:r>
            <w:r w:rsidRPr="004D08E1">
              <w:rPr>
                <w:rFonts w:eastAsia="Times New Roman"/>
                <w:color w:val="000000"/>
                <w:szCs w:val="24"/>
              </w:rPr>
              <w:t> (CAFARO C) To require the Medicaid program to cover the eligibility expansion group authorized by the Patient Protection and Affordable Care Act and to make an appropriation.</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2/11/2015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SB32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COVERAGE-TELEMEDICINE</w:t>
            </w:r>
            <w:r w:rsidRPr="004D08E1">
              <w:rPr>
                <w:rFonts w:eastAsia="Times New Roman"/>
                <w:color w:val="000000"/>
                <w:szCs w:val="24"/>
              </w:rPr>
              <w:t> (TAVARES C) Regarding insurance and Medicaid coverage of telemedicine services.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3/25/2015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SB72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MEDICAID-PROMPT PAYMENT</w:t>
            </w:r>
            <w:r w:rsidRPr="004D08E1">
              <w:rPr>
                <w:rFonts w:eastAsia="Times New Roman"/>
                <w:color w:val="000000"/>
                <w:szCs w:val="24"/>
              </w:rPr>
              <w:t> (TAVARES C) To specify that the Ohio prompt payment law applies to payment of claims by Medicaid managed care organizations.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3/25/2015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SB86</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NOT-FOR-PROFIT QUARTER AUCTIONS</w:t>
            </w:r>
            <w:r w:rsidRPr="004D08E1">
              <w:rPr>
                <w:rFonts w:eastAsia="Times New Roman"/>
                <w:color w:val="000000"/>
                <w:szCs w:val="24"/>
              </w:rPr>
              <w:t> (GARDNER R) To permit charitable organizations to conduct not-for-profit quarter auctions.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4/14/2015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Finance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SB90</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HEALTH CARE WORKER-IDENTIFICATION</w:t>
            </w:r>
            <w:r w:rsidRPr="004D08E1">
              <w:rPr>
                <w:rFonts w:eastAsia="Times New Roman"/>
                <w:color w:val="000000"/>
                <w:szCs w:val="24"/>
              </w:rPr>
              <w:t> (TAVARES C) To require that a health care professional wear identification when providing care or treatment in the presence of a patient.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11/18/2015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Health and Human Services</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SCHOOL PROGRAM</w:t>
            </w:r>
            <w:r w:rsidRPr="004D08E1">
              <w:rPr>
                <w:rFonts w:eastAsia="Times New Roman"/>
                <w:color w:val="000000"/>
                <w:szCs w:val="24"/>
              </w:rPr>
              <w:t> (BACON K, LEHNER P) Regarding the Medicaid School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3/25/2015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HEARING AID-COVERAGE</w:t>
            </w:r>
            <w:r w:rsidRPr="004D08E1">
              <w:rPr>
                <w:rFonts w:eastAsia="Times New Roman"/>
                <w:color w:val="000000"/>
                <w:szCs w:val="24"/>
              </w:rPr>
              <w:t> (BROWN E) To require health insurers to offer coverage for hearing aids.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3/24/2015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SB208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STATE INCOME TAX</w:t>
            </w:r>
            <w:r w:rsidRPr="004D08E1">
              <w:rPr>
                <w:rFonts w:eastAsia="Times New Roman"/>
                <w:color w:val="000000"/>
                <w:szCs w:val="24"/>
              </w:rPr>
              <w:t> (BEAGLE B) To make technical changes to the state income tax law, to modify the requirements for receiving the joint filing credit.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11/15/2015</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Eff. 2/15/16; certain provisions effective 11/15/15</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SB268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STATUTE OF LIMITATIONS-EMPLOYER</w:t>
            </w:r>
            <w:r w:rsidRPr="004D08E1">
              <w:rPr>
                <w:rFonts w:eastAsia="Times New Roman"/>
                <w:color w:val="000000"/>
                <w:szCs w:val="24"/>
              </w:rPr>
              <w:t> (SEITZ B) To modify Ohio civil rights laws related to employment and the statute of limitations for other specified claims against an employer.</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5/18/2016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Civil Justice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Second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SB292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IMMUNITY-VOLUNTEER HEALTH SERVICES</w:t>
            </w:r>
            <w:r w:rsidRPr="004D08E1">
              <w:rPr>
                <w:rFonts w:eastAsia="Times New Roman"/>
                <w:color w:val="000000"/>
                <w:szCs w:val="24"/>
              </w:rPr>
              <w:t> (LEHNER P)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4/20/2016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Civil Justice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bl>
    <w:p w:rsidR="004D08E1" w:rsidRDefault="004D08E1" w:rsidP="004D08E1"/>
    <w:sectPr w:rsidR="004D08E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50" w:rsidRDefault="009C0A50" w:rsidP="009816B4">
      <w:pPr>
        <w:spacing w:line="240" w:lineRule="auto"/>
      </w:pPr>
      <w:r>
        <w:separator/>
      </w:r>
    </w:p>
  </w:endnote>
  <w:endnote w:type="continuationSeparator" w:id="0">
    <w:p w:rsidR="009C0A50" w:rsidRDefault="009C0A50"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50" w:rsidRDefault="009C0A50" w:rsidP="009816B4">
      <w:pPr>
        <w:spacing w:line="240" w:lineRule="auto"/>
      </w:pPr>
      <w:r>
        <w:separator/>
      </w:r>
    </w:p>
  </w:footnote>
  <w:footnote w:type="continuationSeparator" w:id="0">
    <w:p w:rsidR="009C0A50" w:rsidRDefault="009C0A50"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8"/>
    <w:rsid w:val="0000306E"/>
    <w:rsid w:val="00011566"/>
    <w:rsid w:val="0001730B"/>
    <w:rsid w:val="00020240"/>
    <w:rsid w:val="00021252"/>
    <w:rsid w:val="000212F5"/>
    <w:rsid w:val="00021989"/>
    <w:rsid w:val="000244A7"/>
    <w:rsid w:val="00034E9A"/>
    <w:rsid w:val="00035EF6"/>
    <w:rsid w:val="000442EE"/>
    <w:rsid w:val="00053945"/>
    <w:rsid w:val="00062D5D"/>
    <w:rsid w:val="00066093"/>
    <w:rsid w:val="00066EED"/>
    <w:rsid w:val="00075846"/>
    <w:rsid w:val="000773E6"/>
    <w:rsid w:val="00082281"/>
    <w:rsid w:val="000871E5"/>
    <w:rsid w:val="00093B74"/>
    <w:rsid w:val="000A18DA"/>
    <w:rsid w:val="000B4783"/>
    <w:rsid w:val="000B5F75"/>
    <w:rsid w:val="000C79EC"/>
    <w:rsid w:val="000D1E8E"/>
    <w:rsid w:val="000D20D2"/>
    <w:rsid w:val="000D3479"/>
    <w:rsid w:val="000E392C"/>
    <w:rsid w:val="000F385A"/>
    <w:rsid w:val="000F59D7"/>
    <w:rsid w:val="00115D77"/>
    <w:rsid w:val="00122789"/>
    <w:rsid w:val="001354B6"/>
    <w:rsid w:val="001428AF"/>
    <w:rsid w:val="00142E62"/>
    <w:rsid w:val="001568D6"/>
    <w:rsid w:val="00163E7E"/>
    <w:rsid w:val="00170A81"/>
    <w:rsid w:val="00171079"/>
    <w:rsid w:val="001775AC"/>
    <w:rsid w:val="00180A6B"/>
    <w:rsid w:val="001935D1"/>
    <w:rsid w:val="001B0A0B"/>
    <w:rsid w:val="001B6D4C"/>
    <w:rsid w:val="001C0C81"/>
    <w:rsid w:val="001C77CE"/>
    <w:rsid w:val="001D0F84"/>
    <w:rsid w:val="001D179A"/>
    <w:rsid w:val="001D2AD7"/>
    <w:rsid w:val="001D3F94"/>
    <w:rsid w:val="001F3F08"/>
    <w:rsid w:val="002118D6"/>
    <w:rsid w:val="0021307F"/>
    <w:rsid w:val="002134C9"/>
    <w:rsid w:val="0021466F"/>
    <w:rsid w:val="00220DFF"/>
    <w:rsid w:val="0022543E"/>
    <w:rsid w:val="00226AFC"/>
    <w:rsid w:val="00227E82"/>
    <w:rsid w:val="00231026"/>
    <w:rsid w:val="00234A20"/>
    <w:rsid w:val="002354EE"/>
    <w:rsid w:val="00244CA5"/>
    <w:rsid w:val="00260378"/>
    <w:rsid w:val="00263ED6"/>
    <w:rsid w:val="002672F7"/>
    <w:rsid w:val="00273542"/>
    <w:rsid w:val="002768BF"/>
    <w:rsid w:val="0028180E"/>
    <w:rsid w:val="002819D5"/>
    <w:rsid w:val="002823D0"/>
    <w:rsid w:val="0028757E"/>
    <w:rsid w:val="00297299"/>
    <w:rsid w:val="002D2FD1"/>
    <w:rsid w:val="002D446A"/>
    <w:rsid w:val="002F5AD2"/>
    <w:rsid w:val="002F6661"/>
    <w:rsid w:val="003035C7"/>
    <w:rsid w:val="003040BE"/>
    <w:rsid w:val="00314E7C"/>
    <w:rsid w:val="003155B4"/>
    <w:rsid w:val="003162C8"/>
    <w:rsid w:val="00320EC2"/>
    <w:rsid w:val="0032286F"/>
    <w:rsid w:val="00327D06"/>
    <w:rsid w:val="00333A3B"/>
    <w:rsid w:val="00361E00"/>
    <w:rsid w:val="00364B0D"/>
    <w:rsid w:val="003870F9"/>
    <w:rsid w:val="003B0271"/>
    <w:rsid w:val="003B66DA"/>
    <w:rsid w:val="003D3222"/>
    <w:rsid w:val="003D3A3E"/>
    <w:rsid w:val="003D3BA1"/>
    <w:rsid w:val="003D5B8A"/>
    <w:rsid w:val="003D6F7C"/>
    <w:rsid w:val="003E0369"/>
    <w:rsid w:val="003E3860"/>
    <w:rsid w:val="003F562A"/>
    <w:rsid w:val="003F60F0"/>
    <w:rsid w:val="0041727B"/>
    <w:rsid w:val="00432180"/>
    <w:rsid w:val="00437C52"/>
    <w:rsid w:val="0045073E"/>
    <w:rsid w:val="00455173"/>
    <w:rsid w:val="0045693B"/>
    <w:rsid w:val="004607F6"/>
    <w:rsid w:val="004650D8"/>
    <w:rsid w:val="004763F4"/>
    <w:rsid w:val="004917DE"/>
    <w:rsid w:val="00491D30"/>
    <w:rsid w:val="004A018C"/>
    <w:rsid w:val="004A39ED"/>
    <w:rsid w:val="004C0E2B"/>
    <w:rsid w:val="004C144C"/>
    <w:rsid w:val="004C5671"/>
    <w:rsid w:val="004C79C1"/>
    <w:rsid w:val="004C7D50"/>
    <w:rsid w:val="004D08E1"/>
    <w:rsid w:val="004D10B7"/>
    <w:rsid w:val="004D6641"/>
    <w:rsid w:val="004E4CBB"/>
    <w:rsid w:val="004F0EDA"/>
    <w:rsid w:val="004F127F"/>
    <w:rsid w:val="004F1936"/>
    <w:rsid w:val="0051025E"/>
    <w:rsid w:val="005214EC"/>
    <w:rsid w:val="00527665"/>
    <w:rsid w:val="00540E3B"/>
    <w:rsid w:val="0054398F"/>
    <w:rsid w:val="00544988"/>
    <w:rsid w:val="00550F03"/>
    <w:rsid w:val="0055607F"/>
    <w:rsid w:val="00565C7A"/>
    <w:rsid w:val="005710F2"/>
    <w:rsid w:val="00586809"/>
    <w:rsid w:val="00587A78"/>
    <w:rsid w:val="00593652"/>
    <w:rsid w:val="005A4B41"/>
    <w:rsid w:val="005A4BBE"/>
    <w:rsid w:val="005A5396"/>
    <w:rsid w:val="005A7501"/>
    <w:rsid w:val="005B7D13"/>
    <w:rsid w:val="005C50B6"/>
    <w:rsid w:val="005D1ED3"/>
    <w:rsid w:val="005D5AFB"/>
    <w:rsid w:val="005E06FE"/>
    <w:rsid w:val="005E1520"/>
    <w:rsid w:val="005E2E17"/>
    <w:rsid w:val="005E6C5A"/>
    <w:rsid w:val="006014BA"/>
    <w:rsid w:val="0060187A"/>
    <w:rsid w:val="00603D45"/>
    <w:rsid w:val="00612F50"/>
    <w:rsid w:val="00612FDB"/>
    <w:rsid w:val="00630C7D"/>
    <w:rsid w:val="006341A0"/>
    <w:rsid w:val="006405D2"/>
    <w:rsid w:val="0064107E"/>
    <w:rsid w:val="006447CD"/>
    <w:rsid w:val="00651F4D"/>
    <w:rsid w:val="006542D3"/>
    <w:rsid w:val="0065700C"/>
    <w:rsid w:val="00660494"/>
    <w:rsid w:val="0067032A"/>
    <w:rsid w:val="006734CD"/>
    <w:rsid w:val="00676BEA"/>
    <w:rsid w:val="00682C0A"/>
    <w:rsid w:val="00690BC4"/>
    <w:rsid w:val="00695C4C"/>
    <w:rsid w:val="00697720"/>
    <w:rsid w:val="0069791E"/>
    <w:rsid w:val="006A106E"/>
    <w:rsid w:val="006B2CF3"/>
    <w:rsid w:val="006C57B0"/>
    <w:rsid w:val="006C7836"/>
    <w:rsid w:val="006E63E4"/>
    <w:rsid w:val="006F3901"/>
    <w:rsid w:val="007000A0"/>
    <w:rsid w:val="00703EF2"/>
    <w:rsid w:val="00704536"/>
    <w:rsid w:val="00705237"/>
    <w:rsid w:val="0071442A"/>
    <w:rsid w:val="00715933"/>
    <w:rsid w:val="007224C5"/>
    <w:rsid w:val="00743971"/>
    <w:rsid w:val="00750F25"/>
    <w:rsid w:val="00752216"/>
    <w:rsid w:val="007523F9"/>
    <w:rsid w:val="007565F0"/>
    <w:rsid w:val="00757724"/>
    <w:rsid w:val="00765A77"/>
    <w:rsid w:val="007716E1"/>
    <w:rsid w:val="00772C10"/>
    <w:rsid w:val="007973D6"/>
    <w:rsid w:val="007A236E"/>
    <w:rsid w:val="007C249F"/>
    <w:rsid w:val="007C6150"/>
    <w:rsid w:val="007C7822"/>
    <w:rsid w:val="007D1157"/>
    <w:rsid w:val="007D5778"/>
    <w:rsid w:val="007E1360"/>
    <w:rsid w:val="007E2425"/>
    <w:rsid w:val="007E2645"/>
    <w:rsid w:val="0081336C"/>
    <w:rsid w:val="00815187"/>
    <w:rsid w:val="00817B18"/>
    <w:rsid w:val="00827A05"/>
    <w:rsid w:val="00830F5E"/>
    <w:rsid w:val="008465DD"/>
    <w:rsid w:val="00857DFB"/>
    <w:rsid w:val="00861EF2"/>
    <w:rsid w:val="008A518E"/>
    <w:rsid w:val="008A7714"/>
    <w:rsid w:val="008C29D0"/>
    <w:rsid w:val="008C6706"/>
    <w:rsid w:val="008D4F52"/>
    <w:rsid w:val="008F597A"/>
    <w:rsid w:val="00901A18"/>
    <w:rsid w:val="00902804"/>
    <w:rsid w:val="00902D13"/>
    <w:rsid w:val="00903050"/>
    <w:rsid w:val="00903C93"/>
    <w:rsid w:val="0091303F"/>
    <w:rsid w:val="009143E1"/>
    <w:rsid w:val="00916AA8"/>
    <w:rsid w:val="00924444"/>
    <w:rsid w:val="00934D54"/>
    <w:rsid w:val="00937016"/>
    <w:rsid w:val="00942C8B"/>
    <w:rsid w:val="00955C09"/>
    <w:rsid w:val="009654FB"/>
    <w:rsid w:val="009816B4"/>
    <w:rsid w:val="009915A3"/>
    <w:rsid w:val="00994420"/>
    <w:rsid w:val="009A27BB"/>
    <w:rsid w:val="009A6EEB"/>
    <w:rsid w:val="009C0A50"/>
    <w:rsid w:val="009D4596"/>
    <w:rsid w:val="009E150B"/>
    <w:rsid w:val="009E35D3"/>
    <w:rsid w:val="009F19BB"/>
    <w:rsid w:val="009F732C"/>
    <w:rsid w:val="00A23D59"/>
    <w:rsid w:val="00A3286F"/>
    <w:rsid w:val="00A47AA4"/>
    <w:rsid w:val="00A56AE6"/>
    <w:rsid w:val="00A62E87"/>
    <w:rsid w:val="00A65829"/>
    <w:rsid w:val="00A65C2F"/>
    <w:rsid w:val="00A814F8"/>
    <w:rsid w:val="00A83958"/>
    <w:rsid w:val="00A84EB5"/>
    <w:rsid w:val="00A90B6C"/>
    <w:rsid w:val="00A91CB0"/>
    <w:rsid w:val="00A96158"/>
    <w:rsid w:val="00A96488"/>
    <w:rsid w:val="00AB6F47"/>
    <w:rsid w:val="00AC4F92"/>
    <w:rsid w:val="00AC5965"/>
    <w:rsid w:val="00AC7838"/>
    <w:rsid w:val="00AD185C"/>
    <w:rsid w:val="00AD374C"/>
    <w:rsid w:val="00AE4147"/>
    <w:rsid w:val="00AE4AD6"/>
    <w:rsid w:val="00AF77DF"/>
    <w:rsid w:val="00AF7903"/>
    <w:rsid w:val="00B020DC"/>
    <w:rsid w:val="00B063AD"/>
    <w:rsid w:val="00B276C4"/>
    <w:rsid w:val="00B310DF"/>
    <w:rsid w:val="00B318A7"/>
    <w:rsid w:val="00B5028C"/>
    <w:rsid w:val="00B57593"/>
    <w:rsid w:val="00B63C22"/>
    <w:rsid w:val="00B64834"/>
    <w:rsid w:val="00B66128"/>
    <w:rsid w:val="00B71DCB"/>
    <w:rsid w:val="00B75717"/>
    <w:rsid w:val="00B8095D"/>
    <w:rsid w:val="00B91022"/>
    <w:rsid w:val="00B921E0"/>
    <w:rsid w:val="00B939DA"/>
    <w:rsid w:val="00B939E2"/>
    <w:rsid w:val="00B97C8F"/>
    <w:rsid w:val="00BA109A"/>
    <w:rsid w:val="00BA188E"/>
    <w:rsid w:val="00BB0ED0"/>
    <w:rsid w:val="00BD3D73"/>
    <w:rsid w:val="00BD6DDE"/>
    <w:rsid w:val="00BE143E"/>
    <w:rsid w:val="00BE2D19"/>
    <w:rsid w:val="00BE65B4"/>
    <w:rsid w:val="00BF4ECA"/>
    <w:rsid w:val="00C21040"/>
    <w:rsid w:val="00C21E1B"/>
    <w:rsid w:val="00C23385"/>
    <w:rsid w:val="00C30FA4"/>
    <w:rsid w:val="00C334CA"/>
    <w:rsid w:val="00C40433"/>
    <w:rsid w:val="00C5219D"/>
    <w:rsid w:val="00C53029"/>
    <w:rsid w:val="00C56057"/>
    <w:rsid w:val="00C67707"/>
    <w:rsid w:val="00C81144"/>
    <w:rsid w:val="00C8116B"/>
    <w:rsid w:val="00C817F5"/>
    <w:rsid w:val="00CA08D8"/>
    <w:rsid w:val="00CA0AC3"/>
    <w:rsid w:val="00CA5FD3"/>
    <w:rsid w:val="00CA695E"/>
    <w:rsid w:val="00CA76A6"/>
    <w:rsid w:val="00CB1C25"/>
    <w:rsid w:val="00CE15AB"/>
    <w:rsid w:val="00CE385A"/>
    <w:rsid w:val="00CF4EE2"/>
    <w:rsid w:val="00D174D0"/>
    <w:rsid w:val="00D33F75"/>
    <w:rsid w:val="00D40EC6"/>
    <w:rsid w:val="00D42D80"/>
    <w:rsid w:val="00D662C2"/>
    <w:rsid w:val="00D94747"/>
    <w:rsid w:val="00DA231D"/>
    <w:rsid w:val="00DA4C8B"/>
    <w:rsid w:val="00DB650B"/>
    <w:rsid w:val="00DC1131"/>
    <w:rsid w:val="00DC221B"/>
    <w:rsid w:val="00DC2BE0"/>
    <w:rsid w:val="00DD2759"/>
    <w:rsid w:val="00DD54AE"/>
    <w:rsid w:val="00DE2DD9"/>
    <w:rsid w:val="00DE4690"/>
    <w:rsid w:val="00DE525C"/>
    <w:rsid w:val="00DE589D"/>
    <w:rsid w:val="00DF448A"/>
    <w:rsid w:val="00E01C90"/>
    <w:rsid w:val="00E151F1"/>
    <w:rsid w:val="00E1654F"/>
    <w:rsid w:val="00E27BC6"/>
    <w:rsid w:val="00E30672"/>
    <w:rsid w:val="00E42210"/>
    <w:rsid w:val="00E51195"/>
    <w:rsid w:val="00E56D21"/>
    <w:rsid w:val="00E75524"/>
    <w:rsid w:val="00E7623C"/>
    <w:rsid w:val="00E8002A"/>
    <w:rsid w:val="00E82A9B"/>
    <w:rsid w:val="00EA5C77"/>
    <w:rsid w:val="00EB1312"/>
    <w:rsid w:val="00ED31A2"/>
    <w:rsid w:val="00ED4C02"/>
    <w:rsid w:val="00EE499D"/>
    <w:rsid w:val="00F108B2"/>
    <w:rsid w:val="00F1205D"/>
    <w:rsid w:val="00F15338"/>
    <w:rsid w:val="00F15B3C"/>
    <w:rsid w:val="00F17381"/>
    <w:rsid w:val="00F2081D"/>
    <w:rsid w:val="00F20B7C"/>
    <w:rsid w:val="00F22C4C"/>
    <w:rsid w:val="00F240EE"/>
    <w:rsid w:val="00F26F28"/>
    <w:rsid w:val="00F27090"/>
    <w:rsid w:val="00F3435B"/>
    <w:rsid w:val="00F34FC8"/>
    <w:rsid w:val="00F40B7C"/>
    <w:rsid w:val="00F41A88"/>
    <w:rsid w:val="00F4490C"/>
    <w:rsid w:val="00F515C4"/>
    <w:rsid w:val="00F6332A"/>
    <w:rsid w:val="00F640AC"/>
    <w:rsid w:val="00F64FB6"/>
    <w:rsid w:val="00F677AB"/>
    <w:rsid w:val="00F70246"/>
    <w:rsid w:val="00FA56F5"/>
    <w:rsid w:val="00FB2098"/>
    <w:rsid w:val="00FB5561"/>
    <w:rsid w:val="00FC1B5E"/>
    <w:rsid w:val="00FD288A"/>
    <w:rsid w:val="00FD421D"/>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3FAB3E"/>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paragraph" w:styleId="NormalWeb">
    <w:name w:val="Normal (Web)"/>
    <w:basedOn w:val="Normal"/>
    <w:uiPriority w:val="99"/>
    <w:semiHidden/>
    <w:unhideWhenUsed/>
    <w:rsid w:val="00DA4C8B"/>
    <w:pPr>
      <w:spacing w:line="240" w:lineRule="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3884577">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1592662">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93506915">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1101412653">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226343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50747189">
      <w:bodyDiv w:val="1"/>
      <w:marLeft w:val="0"/>
      <w:marRight w:val="0"/>
      <w:marTop w:val="0"/>
      <w:marBottom w:val="0"/>
      <w:divBdr>
        <w:top w:val="none" w:sz="0" w:space="0" w:color="auto"/>
        <w:left w:val="none" w:sz="0" w:space="0" w:color="auto"/>
        <w:bottom w:val="none" w:sz="0" w:space="0" w:color="auto"/>
        <w:right w:val="none" w:sz="0" w:space="0" w:color="auto"/>
      </w:divBdr>
    </w:div>
    <w:div w:id="1735622407">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Kelly</cp:lastModifiedBy>
  <cp:revision>4</cp:revision>
  <cp:lastPrinted>2016-10-10T15:00:00Z</cp:lastPrinted>
  <dcterms:created xsi:type="dcterms:W3CDTF">2016-10-10T14:59:00Z</dcterms:created>
  <dcterms:modified xsi:type="dcterms:W3CDTF">2016-10-10T15:11:00Z</dcterms:modified>
</cp:coreProperties>
</file>